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t>11.4.2 IM.04.02教授公寓住房申请</w:t>
      </w:r>
      <w:r>
        <w:rPr>
          <w:rFonts w:hint="eastAsia" w:ascii="仿宋_GB2312"/>
          <w:b/>
          <w:sz w:val="28"/>
          <w:szCs w:val="28"/>
        </w:rPr>
        <w:t>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1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495"/>
        <w:gridCol w:w="2599"/>
        <w:gridCol w:w="640"/>
        <w:gridCol w:w="1767"/>
        <w:gridCol w:w="2318"/>
        <w:gridCol w:w="1602"/>
        <w:gridCol w:w="699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后勤管理—校园房产管理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IM.04.02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教授公寓住房申请流概述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5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0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1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3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后勤管理处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房管科</w:t>
            </w:r>
          </w:p>
        </w:tc>
        <w:tc>
          <w:tcPr>
            <w:tcW w:w="2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何捷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程志国</w:t>
            </w:r>
          </w:p>
        </w:tc>
        <w:tc>
          <w:tcPr>
            <w:tcW w:w="2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4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4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阐述教授公寓住房申请流程，旨在规范校园房屋资源管理工作，确保国有资产得到合理配置。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4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4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《肇庆学院教授公寓管理办法》（肇学院〔2010〕49号）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4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4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肇庆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24"/>
              </w:rPr>
              <w:t>教授公寓住房申请表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4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14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 w:hAnsiTheme="minorHAnsi"/>
          <w:b/>
          <w:bCs/>
          <w:kern w:val="0"/>
          <w:sz w:val="28"/>
          <w:szCs w:val="28"/>
        </w:r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 w:hAnsiTheme="minorHAnsi"/>
          <w:b/>
          <w:bCs/>
          <w:kern w:val="0"/>
          <w:sz w:val="28"/>
          <w:szCs w:val="28"/>
        </w:rPr>
        <w:object>
          <v:shape id="_x0000_i1025" o:spt="75" type="#_x0000_t75" style="height:387.35pt;width:693.3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4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2021-12-02T01:29:10Z</dcterms:created>
  <dc:creator>Administrator</dc:creator>
  <cp:lastModifiedBy>白瑞</cp:lastModifiedBy>
  <dcterms:modified xsi:type="dcterms:W3CDTF">2021-12-02T01:29:23Z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46158ADA495146A7AF5D884A0A1BC6CC</vt:lpwstr>
  </property>
</Properties>
</file>