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11.3.4 IM.03.01后勤修建工程申报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98"/>
        <w:gridCol w:w="2618"/>
        <w:gridCol w:w="645"/>
        <w:gridCol w:w="1779"/>
        <w:gridCol w:w="2346"/>
        <w:gridCol w:w="1613"/>
        <w:gridCol w:w="705"/>
        <w:gridCol w:w="2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Cs w:val="24"/>
              </w:rPr>
              <w:t>后勤管理—校园修缮管理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IM.03.04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Cs w:val="24"/>
              </w:rPr>
              <w:t>后勤修建工程申报流程概述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3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后勤管理处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综合科</w:t>
            </w:r>
          </w:p>
        </w:tc>
        <w:tc>
          <w:tcPr>
            <w:tcW w:w="24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4"/>
                <w:lang w:val="en-US" w:eastAsia="zh-CN"/>
              </w:rPr>
              <w:t>郭睿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阐述校园零星维修项目报修流程，旨在规范校园零星修缮项目管理工作，确保国有资产的优化配置与学校各项工作的稳定发展。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《肇庆学院小型基本建设与维修管理规定》（肇学院〔2021〕53号）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肇庆学院后勤管理处修建工程申报表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7.45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2021-12-02T01:27:52Z</dcterms:created>
  <dc:creator>Administrator</dc:creator>
  <cp:lastModifiedBy>白瑞</cp:lastModifiedBy>
  <dcterms:modified xsi:type="dcterms:W3CDTF">2021-12-02T01:28:04Z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CDCDD144B0F0438B8C807C31DE689F9A</vt:lpwstr>
  </property>
</Properties>
</file>