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</w:r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t>11.3.3 IM.03.03后勤维修项目现场变更签证审批</w:t>
      </w:r>
      <w:r>
        <w:rPr>
          <w:rFonts w:hint="eastAsia" w:ascii="仿宋_GB2312"/>
          <w:b/>
          <w:sz w:val="28"/>
          <w:szCs w:val="28"/>
        </w:rPr>
        <w:t>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1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495"/>
        <w:gridCol w:w="2599"/>
        <w:gridCol w:w="640"/>
        <w:gridCol w:w="1767"/>
        <w:gridCol w:w="2333"/>
        <w:gridCol w:w="1602"/>
        <w:gridCol w:w="699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后勤管理—校园秩序管理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IM.03.03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后勤维修项目现场变更签证审批流程概述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5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0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1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3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后勤管理处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综合科</w:t>
            </w:r>
          </w:p>
        </w:tc>
        <w:tc>
          <w:tcPr>
            <w:tcW w:w="2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cs="宋体"/>
                <w:color w:val="000000"/>
                <w:szCs w:val="24"/>
                <w:lang w:val="en-US" w:eastAsia="zh-CN"/>
              </w:rPr>
              <w:t>郭睿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cs="Arial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cs="Arial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1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5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阐述校园零星维修项目现场变更签证流程，旨在规范校园后勤维修项目管理工作，确保国有资产的优化配置与学校各项工作的稳定发展。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5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5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《肇庆学院小型基本建设与维修管理规定》（肇学院〔2021〕53号）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5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5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24"/>
              </w:rPr>
              <w:t>后勤管理处工程项目现场变更签证审批单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5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5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 w:hAnsiTheme="minorHAnsi"/>
          <w:b/>
          <w:bCs/>
          <w:kern w:val="0"/>
          <w:sz w:val="28"/>
          <w:szCs w:val="28"/>
        </w:r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 w:hAnsiTheme="minorHAnsi"/>
          <w:b/>
          <w:bCs/>
          <w:kern w:val="0"/>
          <w:sz w:val="28"/>
          <w:szCs w:val="28"/>
        </w:rPr>
        <w:object>
          <v:shape id="_x0000_i1025" o:spt="75" type="#_x0000_t75" style="height:388.1pt;width:697.7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2021-12-02T01:27:11Z</dcterms:created>
  <dc:creator>Administrator</dc:creator>
  <cp:lastModifiedBy>白瑞</cp:lastModifiedBy>
  <dcterms:modified xsi:type="dcterms:W3CDTF">2021-12-02T01:27:30Z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E9CDDBA9D1EC48B2BF939E6F2CF76E8B</vt:lpwstr>
  </property>
</Properties>
</file>